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7823A">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海南省直属机关服务中心2024年度</w:t>
      </w:r>
      <w:r>
        <w:rPr>
          <w:rFonts w:hint="eastAsia" w:asciiTheme="majorEastAsia" w:hAnsiTheme="majorEastAsia" w:eastAsiaTheme="majorEastAsia" w:cstheme="majorEastAsia"/>
          <w:b/>
          <w:bCs/>
          <w:sz w:val="44"/>
          <w:szCs w:val="44"/>
          <w:lang w:val="en-US" w:eastAsia="zh-CN"/>
        </w:rPr>
        <w:t>单位</w:t>
      </w:r>
      <w:bookmarkStart w:id="121" w:name="_GoBack"/>
      <w:bookmarkEnd w:id="121"/>
      <w:r>
        <w:rPr>
          <w:rFonts w:hint="eastAsia" w:asciiTheme="majorEastAsia" w:hAnsiTheme="majorEastAsia" w:eastAsiaTheme="majorEastAsia" w:cstheme="majorEastAsia"/>
          <w:b/>
          <w:bCs/>
          <w:sz w:val="44"/>
          <w:szCs w:val="44"/>
        </w:rPr>
        <w:t>决算公开报告</w:t>
      </w:r>
    </w:p>
    <w:p w14:paraId="31AF1B04">
      <w:pPr>
        <w:spacing w:line="578" w:lineRule="exact"/>
        <w:jc w:val="center"/>
        <w:rPr>
          <w:rFonts w:hint="eastAsia" w:ascii="黑体" w:hAnsi="ˎ̥" w:eastAsia="黑体"/>
          <w:b/>
          <w:sz w:val="32"/>
          <w:szCs w:val="32"/>
        </w:rPr>
      </w:pPr>
    </w:p>
    <w:p w14:paraId="1D8FA393">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14:paraId="18DAA671">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14:paraId="7961404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04CE0A27">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14:paraId="445F5199">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14:paraId="16694DBF">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14:paraId="7E5D8A3D">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14:paraId="47E92AE8">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5426A2C">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52025C8F">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14:paraId="74BC92EA">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14:paraId="4174F825">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14:paraId="2C9B91AA">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14:paraId="3A363ED3">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14:paraId="6A1F4A54">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14:paraId="39757DE5">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14:paraId="08398A5C">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14:paraId="0240ACD9">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14:paraId="53D5BECF">
      <w:pPr>
        <w:spacing w:line="578" w:lineRule="exact"/>
        <w:jc w:val="both"/>
        <w:rPr>
          <w:rFonts w:hint="eastAsia" w:ascii="黑体" w:hAnsi="ˎ̥" w:eastAsia="黑体"/>
          <w:sz w:val="32"/>
          <w:szCs w:val="32"/>
        </w:rPr>
      </w:pPr>
      <w:bookmarkStart w:id="2" w:name="_Toc10720_WPSOffice_Level1"/>
      <w:bookmarkStart w:id="3" w:name="_Toc23465_WPSOffice_Level1"/>
      <w:bookmarkStart w:id="4" w:name="_Toc22941_WPSOffice_Level1"/>
      <w:bookmarkStart w:id="5" w:name="_Toc10049_WPSOffice_Level1"/>
      <w:bookmarkStart w:id="6" w:name="_Toc1704_WPSOffice_Level1"/>
      <w:bookmarkStart w:id="7" w:name="_Toc32433_WPSOffice_Level1"/>
      <w:bookmarkStart w:id="8" w:name="_Toc24238_WPSOffice_Level2"/>
      <w:bookmarkStart w:id="9" w:name="_Toc20205_WPSOffice_Level2"/>
      <w:bookmarkStart w:id="10" w:name="_Toc26580_WPSOffice_Level2"/>
      <w:bookmarkStart w:id="11" w:name="_Toc32622_WPSOffice_Level2"/>
      <w:bookmarkStart w:id="12" w:name="_Toc20274_WPSOffice_Level2"/>
      <w:bookmarkStart w:id="13" w:name="_Toc14159_WPSOffice_Level2"/>
    </w:p>
    <w:p w14:paraId="15B0B004">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14:paraId="73D6F58B">
      <w:pPr>
        <w:spacing w:line="578" w:lineRule="exact"/>
        <w:ind w:firstLine="640" w:firstLineChars="200"/>
        <w:rPr>
          <w:rFonts w:hint="eastAsia" w:ascii="楷体" w:hAnsi="楷体" w:eastAsia="楷体" w:cs="楷体"/>
          <w:sz w:val="32"/>
          <w:szCs w:val="32"/>
        </w:rPr>
      </w:pPr>
    </w:p>
    <w:bookmarkEnd w:id="8"/>
    <w:p w14:paraId="73337D8B">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单位职责</w:t>
      </w:r>
      <w:bookmarkEnd w:id="9"/>
      <w:bookmarkEnd w:id="10"/>
      <w:bookmarkEnd w:id="11"/>
      <w:bookmarkEnd w:id="12"/>
      <w:bookmarkEnd w:id="13"/>
    </w:p>
    <w:p w14:paraId="2AC60089">
      <w:pPr>
        <w:spacing w:line="600" w:lineRule="exact"/>
        <w:ind w:firstLine="640" w:firstLineChars="200"/>
        <w:jc w:val="both"/>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 xml:space="preserve">（一）贯彻执行党和国家关于机关事务、后勤保障、安全保卫、公务接待工作的方针政策、法律法规和规章制度。 </w:t>
      </w:r>
    </w:p>
    <w:p w14:paraId="6063E09C">
      <w:pPr>
        <w:spacing w:line="600" w:lineRule="exact"/>
        <w:ind w:firstLine="640" w:firstLineChars="200"/>
        <w:jc w:val="both"/>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 xml:space="preserve">（二）承担省委、省人大、省政府、省政协四大机关办公和会议服务保障等机关事务的具体组织实施工作。 </w:t>
      </w:r>
    </w:p>
    <w:p w14:paraId="4A26CCD7">
      <w:pPr>
        <w:spacing w:line="600" w:lineRule="exact"/>
        <w:ind w:firstLine="640" w:firstLineChars="200"/>
        <w:jc w:val="both"/>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 xml:space="preserve">（三）承担省直机关集中办公区和省级干部住宅区公共设施维护、供水供电等后勤保障的具体组织实施工作。承担省级干部生活服务保障和来琼挂职干部服务保障等工作。 </w:t>
      </w:r>
    </w:p>
    <w:p w14:paraId="45024E82">
      <w:pPr>
        <w:spacing w:line="600" w:lineRule="exact"/>
        <w:ind w:firstLine="640" w:firstLineChars="200"/>
        <w:jc w:val="both"/>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 xml:space="preserve">（四）承担省直机关集中办公区和省级干部住宅区安保、消防等安全保卫的具体组织实施工作。 </w:t>
      </w:r>
    </w:p>
    <w:p w14:paraId="030AC535">
      <w:pPr>
        <w:spacing w:line="600" w:lineRule="exact"/>
        <w:ind w:firstLine="640" w:firstLineChars="200"/>
        <w:jc w:val="both"/>
        <w:rPr>
          <w:rFonts w:hint="eastAsia" w:ascii="仿宋_GB2312" w:hAnsi="黑体" w:eastAsia="仿宋_GB2312"/>
          <w:color w:val="auto"/>
          <w:sz w:val="32"/>
          <w:szCs w:val="32"/>
          <w:u w:val="none"/>
          <w:lang w:eastAsia="zh-CN"/>
        </w:rPr>
      </w:pPr>
      <w:r>
        <w:rPr>
          <w:rFonts w:hint="eastAsia" w:ascii="仿宋_GB2312" w:hAnsi="黑体" w:eastAsia="仿宋_GB2312"/>
          <w:color w:val="auto"/>
          <w:sz w:val="32"/>
          <w:szCs w:val="32"/>
          <w:u w:val="none"/>
          <w:lang w:val="en-US" w:eastAsia="zh-CN"/>
        </w:rPr>
        <w:t xml:space="preserve">（五）承担省直机关集中办公区食堂的省级干部公务接待的具体组织实施工作。协助开展来琼考察、调研等副省（部）级以上领导的公务接待服务保障工作。 </w:t>
      </w:r>
    </w:p>
    <w:p w14:paraId="1B24E3A7">
      <w:pPr>
        <w:spacing w:line="600" w:lineRule="exact"/>
        <w:ind w:firstLine="640" w:firstLineChars="200"/>
        <w:jc w:val="both"/>
        <w:rPr>
          <w:rFonts w:hint="eastAsia" w:ascii="仿宋_GB2312" w:hAnsi="黑体" w:eastAsia="仿宋_GB2312"/>
          <w:color w:val="auto"/>
          <w:sz w:val="32"/>
          <w:szCs w:val="32"/>
          <w:u w:val="none"/>
          <w:lang w:eastAsia="zh-CN"/>
        </w:rPr>
      </w:pPr>
      <w:r>
        <w:rPr>
          <w:rFonts w:hint="eastAsia" w:ascii="仿宋_GB2312" w:hAnsi="黑体" w:eastAsia="仿宋_GB2312"/>
          <w:color w:val="auto"/>
          <w:sz w:val="32"/>
          <w:szCs w:val="32"/>
          <w:u w:val="none"/>
          <w:lang w:val="en-US" w:eastAsia="zh-CN"/>
        </w:rPr>
        <w:t xml:space="preserve">（六）承担省直机关集中办公区和省级干部住宅区会议保障、环卫绿化、食堂管理、机关安保、公务接待等委托服务项目的监督指导工作。协助开展对省直机关和市县公务接待工作的业务指导。 </w:t>
      </w:r>
    </w:p>
    <w:p w14:paraId="262EBF57">
      <w:pPr>
        <w:numPr>
          <w:ilvl w:val="0"/>
          <w:numId w:val="0"/>
        </w:numPr>
        <w:spacing w:line="578" w:lineRule="exact"/>
        <w:rPr>
          <w:rFonts w:hint="eastAsia" w:ascii="黑体" w:hAnsi="黑体" w:eastAsia="黑体" w:cs="黑体"/>
          <w:sz w:val="32"/>
          <w:szCs w:val="32"/>
        </w:rPr>
      </w:pPr>
      <w:r>
        <w:rPr>
          <w:rFonts w:hint="eastAsia" w:ascii="仿宋_GB2312" w:hAnsi="黑体" w:eastAsia="仿宋_GB2312"/>
          <w:color w:val="auto"/>
          <w:sz w:val="32"/>
          <w:szCs w:val="32"/>
          <w:u w:val="none"/>
          <w:lang w:val="en-US" w:eastAsia="zh-CN"/>
        </w:rPr>
        <w:t>（七）承办上级主管部门交办的其他工作。</w:t>
      </w:r>
    </w:p>
    <w:p w14:paraId="64CF85E5">
      <w:pPr>
        <w:spacing w:line="578" w:lineRule="exact"/>
        <w:ind w:firstLine="640" w:firstLineChars="200"/>
        <w:rPr>
          <w:rFonts w:hint="eastAsia" w:ascii="黑体" w:hAnsi="黑体" w:eastAsia="黑体" w:cs="黑体"/>
          <w:sz w:val="32"/>
          <w:szCs w:val="32"/>
        </w:rPr>
      </w:pPr>
      <w:bookmarkStart w:id="14" w:name="_Toc24059_WPSOffice_Level2"/>
      <w:bookmarkStart w:id="15" w:name="_Toc17796_WPSOffice_Level2"/>
      <w:bookmarkStart w:id="16" w:name="_Toc4833_WPSOffice_Level2"/>
      <w:bookmarkStart w:id="17" w:name="_Toc24474_WPSOffice_Level2"/>
      <w:bookmarkStart w:id="18" w:name="_Toc6572_WPSOffice_Level2"/>
      <w:r>
        <w:rPr>
          <w:rFonts w:hint="eastAsia" w:ascii="黑体" w:hAnsi="黑体" w:eastAsia="黑体" w:cs="黑体"/>
          <w:sz w:val="32"/>
          <w:szCs w:val="32"/>
        </w:rPr>
        <w:t>二、机构设置</w:t>
      </w:r>
      <w:bookmarkEnd w:id="14"/>
      <w:bookmarkEnd w:id="15"/>
      <w:bookmarkEnd w:id="16"/>
      <w:bookmarkEnd w:id="17"/>
      <w:bookmarkEnd w:id="18"/>
    </w:p>
    <w:p w14:paraId="0838A269">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sz w:val="32"/>
          <w:szCs w:val="32"/>
        </w:rPr>
      </w:pPr>
      <w:bookmarkStart w:id="19" w:name="_Toc24421_WPSOffice_Level2"/>
      <w:bookmarkStart w:id="20" w:name="_Toc25738_WPSOffice_Level2"/>
      <w:r>
        <w:rPr>
          <w:rFonts w:hint="eastAsia" w:ascii="仿宋_GB2312" w:hAnsi="黑体" w:eastAsia="仿宋_GB2312" w:cs="仿宋_GB2312"/>
          <w:color w:val="auto"/>
          <w:sz w:val="32"/>
          <w:szCs w:val="32"/>
          <w:lang w:eastAsia="zh-CN"/>
        </w:rPr>
        <w:t>海南省直属机关服务中心于</w:t>
      </w:r>
      <w:r>
        <w:rPr>
          <w:rFonts w:hint="eastAsia" w:ascii="仿宋_GB2312" w:hAnsi="黑体" w:eastAsia="仿宋_GB2312" w:cs="仿宋_GB2312"/>
          <w:color w:val="auto"/>
          <w:sz w:val="32"/>
          <w:szCs w:val="32"/>
          <w:lang w:val="en-US" w:eastAsia="zh-CN"/>
        </w:rPr>
        <w:t>1995年5月成立，隶属省机关事务管理局，正处级公益一类事业单位，</w:t>
      </w:r>
      <w:r>
        <w:rPr>
          <w:rFonts w:hint="eastAsia" w:ascii="仿宋_GB2312" w:hAnsi="黑体" w:eastAsia="仿宋_GB2312" w:cs="仿宋_GB2312"/>
          <w:color w:val="auto"/>
          <w:sz w:val="32"/>
          <w:szCs w:val="32"/>
          <w:lang w:eastAsia="zh-CN"/>
        </w:rPr>
        <w:t>内设</w:t>
      </w:r>
      <w:r>
        <w:rPr>
          <w:rFonts w:hint="eastAsia" w:ascii="仿宋_GB2312" w:hAnsi="黑体" w:eastAsia="仿宋_GB2312" w:cs="仿宋_GB2312"/>
          <w:color w:val="auto"/>
          <w:sz w:val="32"/>
          <w:szCs w:val="32"/>
          <w:lang w:val="en-US" w:eastAsia="zh-CN"/>
        </w:rPr>
        <w:t>7个</w:t>
      </w:r>
      <w:r>
        <w:rPr>
          <w:rFonts w:hint="eastAsia" w:ascii="仿宋_GB2312" w:hAnsi="黑体" w:eastAsia="仿宋_GB2312" w:cs="仿宋_GB2312"/>
          <w:color w:val="auto"/>
          <w:sz w:val="32"/>
          <w:szCs w:val="32"/>
          <w:lang w:eastAsia="zh-CN"/>
        </w:rPr>
        <w:t>科级部门，</w:t>
      </w:r>
      <w:r>
        <w:rPr>
          <w:rFonts w:hint="eastAsia" w:ascii="仿宋_GB2312" w:hAnsi="黑体" w:eastAsia="仿宋_GB2312" w:cs="仿宋_GB2312"/>
          <w:color w:val="auto"/>
          <w:sz w:val="32"/>
          <w:szCs w:val="32"/>
          <w:lang w:val="en-US" w:eastAsia="zh-CN"/>
        </w:rPr>
        <w:t>分别是办公室、接待服务科、接待技能保障科、海南广场办公区服务科、国兴办公区服务科、海府办公区服务科、省级干部住宅区服务科。</w:t>
      </w:r>
      <w:bookmarkEnd w:id="19"/>
      <w:bookmarkEnd w:id="20"/>
    </w:p>
    <w:p w14:paraId="48BA407B">
      <w:pPr>
        <w:spacing w:line="578" w:lineRule="exact"/>
        <w:jc w:val="center"/>
        <w:rPr>
          <w:rFonts w:hint="eastAsia" w:ascii="黑体" w:hAnsi="ˎ̥" w:eastAsia="黑体"/>
          <w:sz w:val="32"/>
          <w:szCs w:val="32"/>
        </w:rPr>
      </w:pPr>
      <w:bookmarkStart w:id="21" w:name="_Toc30451_WPSOffice_Level1"/>
      <w:bookmarkStart w:id="22" w:name="_Toc28253_WPSOffice_Level1"/>
      <w:bookmarkStart w:id="23" w:name="_Toc8164_WPSOffice_Level1"/>
      <w:bookmarkStart w:id="24" w:name="_Toc30690_WPSOffice_Level1"/>
      <w:bookmarkStart w:id="25" w:name="_Toc6234_WPSOffice_Level1"/>
      <w:bookmarkStart w:id="26" w:name="_Toc15521_WPSOffice_Level1"/>
      <w:bookmarkStart w:id="27" w:name="_Toc8867_WPSOffice_Level2"/>
      <w:bookmarkStart w:id="28" w:name="_Toc32472_WPSOffice_Level2"/>
      <w:bookmarkStart w:id="29" w:name="_Toc11518_WPSOffice_Level2"/>
      <w:bookmarkStart w:id="30" w:name="_Toc6211_WPSOffice_Level2"/>
      <w:bookmarkStart w:id="31" w:name="_Toc32695_WPSOffice_Level2"/>
      <w:bookmarkStart w:id="32" w:name="_Toc4029_WPSOffice_Level2"/>
    </w:p>
    <w:p w14:paraId="03C9A08A">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14:paraId="408D44E1">
      <w:pPr>
        <w:spacing w:line="578" w:lineRule="exact"/>
        <w:ind w:firstLine="645"/>
        <w:rPr>
          <w:rFonts w:hint="eastAsia" w:ascii="黑体" w:hAnsi="黑体" w:eastAsia="黑体" w:cs="黑体"/>
          <w:sz w:val="32"/>
          <w:szCs w:val="32"/>
        </w:rPr>
      </w:pPr>
    </w:p>
    <w:p w14:paraId="58858DD1">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14:paraId="2338D68F">
      <w:pPr>
        <w:spacing w:line="578" w:lineRule="exact"/>
        <w:ind w:firstLine="645"/>
        <w:rPr>
          <w:rFonts w:hint="eastAsia" w:ascii="黑体" w:hAnsi="黑体" w:eastAsia="黑体" w:cs="黑体"/>
          <w:sz w:val="32"/>
          <w:szCs w:val="32"/>
        </w:rPr>
      </w:pPr>
      <w:bookmarkStart w:id="33" w:name="_Toc26621_WPSOffice_Level2"/>
      <w:bookmarkStart w:id="34" w:name="_Toc30334_WPSOffice_Level2"/>
      <w:bookmarkStart w:id="35" w:name="_Toc23139_WPSOffice_Level2"/>
      <w:bookmarkStart w:id="36" w:name="_Toc28622_WPSOffice_Level2"/>
      <w:bookmarkStart w:id="37" w:name="_Toc14349_WPSOffice_Level2"/>
      <w:bookmarkStart w:id="38" w:name="_Toc25608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7626_WPSOffice_Level2"/>
      <w:bookmarkStart w:id="40" w:name="_Toc13854_WPSOffice_Level2"/>
      <w:bookmarkStart w:id="41" w:name="_Toc3262_WPSOffice_Level2"/>
      <w:bookmarkStart w:id="42" w:name="_Toc14658_WPSOffice_Level2"/>
      <w:bookmarkStart w:id="43" w:name="_Toc5489_WPSOffice_Level2"/>
      <w:bookmarkStart w:id="44" w:name="_Toc17858_WPSOffice_Level2"/>
    </w:p>
    <w:p w14:paraId="3E19738F">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13701_WPSOffice_Level2"/>
      <w:bookmarkStart w:id="46" w:name="_Toc7988_WPSOffice_Level2"/>
      <w:bookmarkStart w:id="47" w:name="_Toc23493_WPSOffice_Level2"/>
      <w:bookmarkStart w:id="48" w:name="_Toc4265_WPSOffice_Level2"/>
      <w:bookmarkStart w:id="49" w:name="_Toc21415_WPSOffice_Level2"/>
      <w:bookmarkStart w:id="50" w:name="_Toc23591_WPSOffice_Level2"/>
    </w:p>
    <w:p w14:paraId="6A833EE4">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14:paraId="65AF9B9F">
      <w:pPr>
        <w:spacing w:line="578" w:lineRule="exact"/>
        <w:ind w:firstLine="645"/>
        <w:rPr>
          <w:rFonts w:hint="eastAsia" w:ascii="黑体" w:hAnsi="黑体" w:eastAsia="黑体" w:cs="黑体"/>
          <w:sz w:val="32"/>
          <w:szCs w:val="32"/>
        </w:rPr>
      </w:pPr>
      <w:bookmarkStart w:id="51" w:name="_Toc25166_WPSOffice_Level2"/>
      <w:bookmarkStart w:id="52" w:name="_Toc23829_WPSOffice_Level2"/>
      <w:bookmarkStart w:id="53" w:name="_Toc22783_WPSOffice_Level2"/>
      <w:bookmarkStart w:id="54" w:name="_Toc7879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25362_WPSOffice_Level2"/>
      <w:bookmarkStart w:id="58" w:name="_Toc17833_WPSOffice_Level2"/>
      <w:bookmarkStart w:id="59" w:name="_Toc8373_WPSOffice_Level2"/>
      <w:bookmarkStart w:id="60" w:name="_Toc2632_WPSOffice_Level2"/>
      <w:bookmarkStart w:id="61" w:name="_Toc5343_WPSOffice_Level2"/>
      <w:bookmarkStart w:id="62" w:name="_Toc17283_WPSOffice_Level2"/>
    </w:p>
    <w:p w14:paraId="26AF0E1E">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14:paraId="30C1123A">
      <w:pPr>
        <w:spacing w:line="578" w:lineRule="exact"/>
        <w:ind w:left="1118" w:leftChars="304" w:hanging="480" w:hangingChars="150"/>
        <w:rPr>
          <w:rFonts w:hint="eastAsia" w:ascii="黑体" w:hAnsi="黑体" w:eastAsia="黑体" w:cs="黑体"/>
          <w:sz w:val="32"/>
          <w:szCs w:val="32"/>
        </w:rPr>
      </w:pPr>
      <w:bookmarkStart w:id="63" w:name="_Toc5594_WPSOffice_Level2"/>
      <w:bookmarkStart w:id="64" w:name="_Toc11799_WPSOffice_Level2"/>
      <w:bookmarkStart w:id="65" w:name="_Toc13345_WPSOffice_Level2"/>
      <w:bookmarkStart w:id="66" w:name="_Toc21310_WPSOffice_Level2"/>
      <w:bookmarkStart w:id="67" w:name="_Toc6020_WPSOffice_Level2"/>
      <w:bookmarkStart w:id="68" w:name="_Toc1533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14:paraId="70745B89">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14:paraId="04D30669">
      <w:pPr>
        <w:spacing w:line="578" w:lineRule="exact"/>
        <w:ind w:firstLine="640"/>
        <w:rPr>
          <w:rFonts w:hint="eastAsia" w:ascii="黑体" w:hAnsi="黑体" w:eastAsia="黑体" w:cs="黑体"/>
          <w:sz w:val="32"/>
          <w:szCs w:val="32"/>
        </w:rPr>
      </w:pPr>
      <w:bookmarkStart w:id="69" w:name="_Toc9377_WPSOffice_Level2"/>
      <w:bookmarkStart w:id="70" w:name="_Toc19961_WPSOffice_Level2"/>
      <w:bookmarkStart w:id="71" w:name="_Toc1820_WPSOffice_Level2"/>
      <w:bookmarkStart w:id="72" w:name="_Toc29886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14:paraId="6C7733ED">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14:paraId="6A3A0C5D">
      <w:pPr>
        <w:spacing w:line="578" w:lineRule="exact"/>
        <w:rPr>
          <w:rFonts w:hint="eastAsia" w:ascii="黑体" w:hAnsi="黑体" w:eastAsia="黑体" w:cs="黑体"/>
          <w:sz w:val="32"/>
          <w:szCs w:val="32"/>
        </w:rPr>
      </w:pPr>
    </w:p>
    <w:p w14:paraId="370F5BF2">
      <w:pPr>
        <w:spacing w:line="578" w:lineRule="exact"/>
        <w:jc w:val="center"/>
        <w:rPr>
          <w:rFonts w:hint="eastAsia" w:ascii="黑体" w:hAnsi="ˎ̥" w:eastAsia="黑体"/>
          <w:sz w:val="32"/>
          <w:szCs w:val="32"/>
        </w:rPr>
      </w:pPr>
      <w:bookmarkStart w:id="73" w:name="_Toc31264_WPSOffice_Level1"/>
      <w:bookmarkStart w:id="74" w:name="_Toc16686_WPSOffice_Level1"/>
      <w:bookmarkStart w:id="75" w:name="_Toc28629_WPSOffice_Level1"/>
      <w:bookmarkStart w:id="76" w:name="_Toc4402_WPSOffice_Level1"/>
      <w:bookmarkStart w:id="77" w:name="_Toc27590_WPSOffice_Level1"/>
      <w:bookmarkStart w:id="78"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14:paraId="7B6C1B16">
      <w:pPr>
        <w:spacing w:line="578" w:lineRule="exact"/>
        <w:jc w:val="center"/>
        <w:rPr>
          <w:rFonts w:hint="eastAsia" w:ascii="黑体" w:hAnsi="ˎ̥" w:eastAsia="黑体"/>
          <w:sz w:val="32"/>
          <w:szCs w:val="32"/>
        </w:rPr>
      </w:pPr>
    </w:p>
    <w:p w14:paraId="354F7BC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1619.37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16.73</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2024年</w:t>
      </w:r>
      <w:r>
        <w:rPr>
          <w:rFonts w:hint="eastAsia" w:ascii="仿宋_GB2312" w:hAnsi="ˎ̥" w:eastAsia="仿宋_GB2312"/>
          <w:color w:val="auto"/>
          <w:sz w:val="32"/>
          <w:szCs w:val="32"/>
          <w:lang w:eastAsia="zh-CN"/>
        </w:rPr>
        <w:t>增加海府新村、八角楼、会展楼南面广场地下停车场、新建政务二期办公楼等办公区域面积，相应增加水电费、物业管理费</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国兴第二机关食堂改造启用后增加人工服务费；三是年末电费预算不足，调剂新增电费</w:t>
      </w:r>
      <w:r>
        <w:rPr>
          <w:rFonts w:hint="eastAsia" w:ascii="仿宋_GB2312" w:hAnsi="ˎ̥" w:eastAsia="仿宋_GB2312"/>
          <w:color w:val="auto"/>
          <w:sz w:val="32"/>
          <w:szCs w:val="32"/>
        </w:rPr>
        <w:t>。</w:t>
      </w:r>
    </w:p>
    <w:p w14:paraId="5021043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14:paraId="742224F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增加</w:t>
      </w:r>
      <w:r>
        <w:rPr>
          <w:rFonts w:hint="eastAsia" w:ascii="仿宋_GB2312" w:hAnsi="ˎ̥" w:eastAsia="仿宋_GB2312"/>
          <w:color w:val="auto"/>
          <w:sz w:val="32"/>
          <w:szCs w:val="32"/>
          <w:lang w:val="en-US" w:eastAsia="zh-CN"/>
        </w:rPr>
        <w:t>1619.37万元，增长16.73%。</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2024年</w:t>
      </w:r>
      <w:r>
        <w:rPr>
          <w:rFonts w:hint="eastAsia" w:ascii="仿宋_GB2312" w:hAnsi="ˎ̥" w:eastAsia="仿宋_GB2312"/>
          <w:color w:val="auto"/>
          <w:sz w:val="32"/>
          <w:szCs w:val="32"/>
          <w:lang w:eastAsia="zh-CN"/>
        </w:rPr>
        <w:t>增加海府新村、八角楼、会展楼南面广场地下停车场、新建政务二期办公楼等办公区域面积，相应增加水电费、物业管理费</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国兴第二机关食堂改造启用后增加人工服务费；三是年末电费预算不足，调剂新增电费</w:t>
      </w:r>
      <w:r>
        <w:rPr>
          <w:rFonts w:hint="eastAsia" w:ascii="仿宋_GB2312" w:hAnsi="ˎ̥" w:eastAsia="仿宋_GB2312"/>
          <w:color w:val="auto"/>
          <w:sz w:val="32"/>
          <w:szCs w:val="32"/>
        </w:rPr>
        <w:t>。</w:t>
      </w:r>
    </w:p>
    <w:p w14:paraId="3F3F5E7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14:paraId="43C7B27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1619.37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16.73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一是</w:t>
      </w:r>
      <w:r>
        <w:rPr>
          <w:rFonts w:hint="eastAsia" w:ascii="仿宋_GB2312" w:hAnsi="ˎ̥" w:eastAsia="仿宋_GB2312"/>
          <w:color w:val="auto"/>
          <w:sz w:val="32"/>
          <w:szCs w:val="32"/>
          <w:lang w:val="en-US" w:eastAsia="zh-CN"/>
        </w:rPr>
        <w:t>2024年</w:t>
      </w:r>
      <w:r>
        <w:rPr>
          <w:rFonts w:hint="eastAsia" w:ascii="仿宋_GB2312" w:hAnsi="ˎ̥" w:eastAsia="仿宋_GB2312"/>
          <w:color w:val="auto"/>
          <w:sz w:val="32"/>
          <w:szCs w:val="32"/>
          <w:lang w:eastAsia="zh-CN"/>
        </w:rPr>
        <w:t>增加海府新村、八角楼、会展楼南面广场地下停车场、新建政务二期办公楼等办公区域面积，相应增加水电费、物业管理费</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国兴第二机关食堂改造启用后增加人工服务费；三是年末电费预算不足，调剂新增电费</w:t>
      </w:r>
      <w:r>
        <w:rPr>
          <w:rFonts w:hint="eastAsia" w:ascii="仿宋_GB2312" w:hAnsi="ˎ̥" w:eastAsia="仿宋_GB2312"/>
          <w:color w:val="auto"/>
          <w:sz w:val="32"/>
          <w:szCs w:val="32"/>
        </w:rPr>
        <w:t>。</w:t>
      </w:r>
    </w:p>
    <w:p w14:paraId="35EAA71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34667ADC">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14:paraId="052219D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7,773.45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68.82</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3,522.55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31.18</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710F1C2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14:paraId="41E610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1619.37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16.73</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2024年</w:t>
      </w:r>
      <w:r>
        <w:rPr>
          <w:rFonts w:hint="eastAsia" w:ascii="仿宋_GB2312" w:hAnsi="ˎ̥" w:eastAsia="仿宋_GB2312"/>
          <w:color w:val="auto"/>
          <w:sz w:val="32"/>
          <w:szCs w:val="32"/>
          <w:lang w:eastAsia="zh-CN"/>
        </w:rPr>
        <w:t>增加海府新村、八角楼、会展楼南面广场地下停车场、新建政务二期办公楼等办公区域面积，相应增加水电费、物业管理费</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国兴第二机关食堂改造启用后增加人工服务费；三是年末电费预算不足，调剂新增电费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1619.37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16.73</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2024年</w:t>
      </w:r>
      <w:r>
        <w:rPr>
          <w:rFonts w:hint="eastAsia" w:ascii="仿宋_GB2312" w:hAnsi="ˎ̥" w:eastAsia="仿宋_GB2312"/>
          <w:color w:val="auto"/>
          <w:sz w:val="32"/>
          <w:szCs w:val="32"/>
          <w:lang w:eastAsia="zh-CN"/>
        </w:rPr>
        <w:t>增加海府新村、八角楼、会展楼南面广场地下停车场、新建政务二期办公楼等办公区域面积，相应增加水电费、物业管理费</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国兴第二机关食堂改造启用后增加人工服务费；三是年末电费预算不足，调剂新增电费</w:t>
      </w:r>
      <w:r>
        <w:rPr>
          <w:rFonts w:hint="eastAsia" w:ascii="仿宋_GB2312" w:hAnsi="ˎ̥" w:eastAsia="仿宋_GB2312"/>
          <w:color w:val="auto"/>
          <w:sz w:val="32"/>
          <w:szCs w:val="32"/>
        </w:rPr>
        <w:t>。</w:t>
      </w:r>
    </w:p>
    <w:p w14:paraId="5519D26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7B4A6B9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3F36CCB9">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14:paraId="7300D95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17398_WPSOffice_Level2"/>
      <w:bookmarkStart w:id="80" w:name="_Toc21737_WPSOffice_Level2"/>
      <w:bookmarkStart w:id="81" w:name="_Toc19665_WPSOffice_Level2"/>
      <w:bookmarkStart w:id="82" w:name="_Toc9989_WPSOffice_Level2"/>
      <w:bookmarkStart w:id="83" w:name="_Toc23005_WPSOffice_Level2"/>
      <w:bookmarkStart w:id="84" w:name="_Toc13694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14:paraId="414EEB2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1619.37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16.73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一是</w:t>
      </w:r>
      <w:r>
        <w:rPr>
          <w:rFonts w:hint="eastAsia" w:ascii="仿宋_GB2312" w:hAnsi="ˎ̥" w:eastAsia="仿宋_GB2312"/>
          <w:color w:val="auto"/>
          <w:sz w:val="32"/>
          <w:szCs w:val="32"/>
          <w:lang w:val="en-US" w:eastAsia="zh-CN"/>
        </w:rPr>
        <w:t>2024年</w:t>
      </w:r>
      <w:r>
        <w:rPr>
          <w:rFonts w:hint="eastAsia" w:ascii="仿宋_GB2312" w:hAnsi="ˎ̥" w:eastAsia="仿宋_GB2312"/>
          <w:color w:val="auto"/>
          <w:sz w:val="32"/>
          <w:szCs w:val="32"/>
          <w:lang w:eastAsia="zh-CN"/>
        </w:rPr>
        <w:t>增加海府新村、八角楼、会展楼南面广场地下停车场、新建政务二期办公楼等办公区域面积，相应增加水电费、物业管理费</w:t>
      </w:r>
      <w:r>
        <w:rPr>
          <w:rFonts w:hint="eastAsia" w:ascii="仿宋_GB2312" w:hAnsi="ˎ̥" w:eastAsia="仿宋_GB2312"/>
          <w:color w:val="auto"/>
          <w:sz w:val="32"/>
          <w:szCs w:val="32"/>
        </w:rPr>
        <w:t>；二是</w:t>
      </w:r>
      <w:r>
        <w:rPr>
          <w:rFonts w:hint="eastAsia" w:ascii="仿宋_GB2312" w:hAnsi="ˎ̥" w:eastAsia="仿宋_GB2312"/>
          <w:color w:val="auto"/>
          <w:sz w:val="32"/>
          <w:szCs w:val="32"/>
          <w:lang w:eastAsia="zh-CN"/>
        </w:rPr>
        <w:t>国兴第二机关食堂改造启用后增加人工服务费；三是年末电费预算不足，调剂新增电费</w:t>
      </w:r>
      <w:r>
        <w:rPr>
          <w:rFonts w:hint="eastAsia" w:ascii="仿宋_GB2312" w:hAnsi="ˎ̥" w:eastAsia="仿宋_GB2312"/>
          <w:color w:val="auto"/>
          <w:sz w:val="32"/>
          <w:szCs w:val="32"/>
        </w:rPr>
        <w:t>。</w:t>
      </w:r>
    </w:p>
    <w:p w14:paraId="765BBB8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5" w:name="_Toc2711_WPSOffice_Level2"/>
      <w:bookmarkStart w:id="86" w:name="_Toc18793_WPSOffice_Level2"/>
      <w:bookmarkStart w:id="87" w:name="_Toc19535_WPSOffice_Level2"/>
      <w:bookmarkStart w:id="88" w:name="_Toc19075_WPSOffice_Level2"/>
      <w:bookmarkStart w:id="89" w:name="_Toc27767_WPSOffice_Level2"/>
      <w:bookmarkStart w:id="90" w:name="_Toc23864_WPSOffice_Level2"/>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14:paraId="57A4949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10823.67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95.82</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312.35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2.77</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b/>
          <w:color w:val="auto"/>
          <w:sz w:val="32"/>
          <w:szCs w:val="32"/>
          <w:lang w:val="en-US" w:eastAsia="zh-CN"/>
        </w:rPr>
        <w:t>卫生健康支出（类）</w:t>
      </w:r>
      <w:r>
        <w:rPr>
          <w:rFonts w:hint="eastAsia" w:ascii="仿宋_GB2312" w:hAnsi="ˎ̥" w:eastAsia="仿宋_GB2312"/>
          <w:color w:val="auto"/>
          <w:sz w:val="32"/>
          <w:szCs w:val="32"/>
          <w:lang w:val="en-US" w:eastAsia="zh-CN"/>
        </w:rPr>
        <w:t>支出50万元，占0.44%；</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109.98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0.97</w:t>
      </w:r>
      <w:r>
        <w:rPr>
          <w:rFonts w:hint="eastAsia" w:ascii="仿宋_GB2312" w:hAnsi="ˎ̥" w:eastAsia="仿宋_GB2312"/>
          <w:color w:val="auto"/>
          <w:sz w:val="32"/>
          <w:szCs w:val="32"/>
        </w:rPr>
        <w:t>%。</w:t>
      </w:r>
    </w:p>
    <w:p w14:paraId="3BD39B4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25136_WPSOffice_Level2"/>
      <w:bookmarkStart w:id="92" w:name="_Toc15415_WPSOffice_Level2"/>
      <w:bookmarkStart w:id="93" w:name="_Toc22318_WPSOffice_Level2"/>
      <w:bookmarkStart w:id="94" w:name="_Toc29364_WPSOffice_Level2"/>
      <w:bookmarkStart w:id="95" w:name="_Toc9502_WPSOffice_Level2"/>
      <w:bookmarkStart w:id="96" w:name="_Toc21701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14:paraId="720791D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10818.92</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11,296.00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104.41</w:t>
      </w:r>
      <w:r>
        <w:rPr>
          <w:rFonts w:hint="eastAsia" w:ascii="仿宋_GB2312" w:hAnsi="ˎ̥" w:eastAsia="仿宋_GB2312"/>
          <w:color w:val="auto"/>
          <w:sz w:val="32"/>
          <w:szCs w:val="32"/>
        </w:rPr>
        <w:t>%。其中：</w:t>
      </w:r>
    </w:p>
    <w:p w14:paraId="6514859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w:t>
      </w:r>
      <w:r>
        <w:rPr>
          <w:rFonts w:hint="eastAsia" w:ascii="仿宋_GB2312" w:hAnsi="ˎ̥" w:eastAsia="仿宋_GB2312"/>
          <w:b/>
          <w:color w:val="auto"/>
          <w:sz w:val="32"/>
          <w:szCs w:val="32"/>
          <w:lang w:eastAsia="zh-CN"/>
        </w:rPr>
        <w:t>支出</w:t>
      </w:r>
      <w:r>
        <w:rPr>
          <w:rFonts w:hint="eastAsia" w:ascii="仿宋_GB2312" w:hAnsi="ˎ̥" w:eastAsia="仿宋_GB2312"/>
          <w:b/>
          <w:color w:val="auto"/>
          <w:sz w:val="32"/>
          <w:szCs w:val="32"/>
        </w:rPr>
        <w:t>（类）政府办公厅（室）及相关机构事务（款）</w:t>
      </w:r>
      <w:r>
        <w:rPr>
          <w:rFonts w:hint="eastAsia" w:ascii="仿宋_GB2312" w:hAnsi="ˎ̥" w:eastAsia="仿宋_GB2312"/>
          <w:b/>
          <w:color w:val="auto"/>
          <w:sz w:val="32"/>
          <w:szCs w:val="32"/>
          <w:lang w:eastAsia="zh-CN"/>
        </w:rPr>
        <w:t>机关服务</w:t>
      </w:r>
      <w:r>
        <w:rPr>
          <w:rFonts w:hint="eastAsia" w:ascii="仿宋_GB2312" w:hAnsi="ˎ̥" w:eastAsia="仿宋_GB2312"/>
          <w:b/>
          <w:color w:val="auto"/>
          <w:sz w:val="32"/>
          <w:szCs w:val="32"/>
        </w:rPr>
        <w:t>（项）。</w:t>
      </w:r>
    </w:p>
    <w:p w14:paraId="4CAB8981">
      <w:pPr>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50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49.45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98.9</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eastAsia="zh-CN"/>
        </w:rPr>
        <w:t>是根据当年度实际情况支出。</w:t>
      </w:r>
    </w:p>
    <w:p w14:paraId="26740B29">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
          <w:color w:val="auto"/>
          <w:sz w:val="32"/>
          <w:szCs w:val="32"/>
        </w:rPr>
      </w:pPr>
      <w:r>
        <w:rPr>
          <w:rFonts w:hint="eastAsia" w:ascii="仿宋_GB2312" w:hAnsi="ˎ̥" w:eastAsia="仿宋_GB2312"/>
          <w:b/>
          <w:color w:val="auto"/>
          <w:sz w:val="32"/>
          <w:szCs w:val="32"/>
        </w:rPr>
        <w:t>一般公共服务</w:t>
      </w:r>
      <w:r>
        <w:rPr>
          <w:rFonts w:hint="eastAsia" w:ascii="仿宋_GB2312" w:hAnsi="ˎ̥" w:eastAsia="仿宋_GB2312"/>
          <w:b/>
          <w:color w:val="auto"/>
          <w:sz w:val="32"/>
          <w:szCs w:val="32"/>
          <w:lang w:eastAsia="zh-CN"/>
        </w:rPr>
        <w:t>支出</w:t>
      </w:r>
      <w:r>
        <w:rPr>
          <w:rFonts w:hint="eastAsia" w:ascii="仿宋_GB2312" w:hAnsi="ˎ̥" w:eastAsia="仿宋_GB2312"/>
          <w:b/>
          <w:color w:val="auto"/>
          <w:sz w:val="32"/>
          <w:szCs w:val="32"/>
        </w:rPr>
        <w:t>（类）党委办公厅（室）及相关机构事务（款）</w:t>
      </w:r>
      <w:r>
        <w:rPr>
          <w:rFonts w:hint="eastAsia" w:ascii="仿宋_GB2312" w:hAnsi="ˎ̥" w:eastAsia="仿宋_GB2312"/>
          <w:b/>
          <w:color w:val="auto"/>
          <w:sz w:val="32"/>
          <w:szCs w:val="32"/>
          <w:lang w:eastAsia="zh-CN"/>
        </w:rPr>
        <w:t>机关服务</w:t>
      </w:r>
      <w:r>
        <w:rPr>
          <w:rFonts w:hint="eastAsia" w:ascii="仿宋_GB2312" w:hAnsi="ˎ̥" w:eastAsia="仿宋_GB2312"/>
          <w:b/>
          <w:color w:val="auto"/>
          <w:sz w:val="32"/>
          <w:szCs w:val="32"/>
        </w:rPr>
        <w:t>（项）</w:t>
      </w:r>
    </w:p>
    <w:p w14:paraId="6B1AC3C1">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10281.12</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10774.23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104.8</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大</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是年末电费预算不足，调剂新增电费</w:t>
      </w:r>
      <w:r>
        <w:rPr>
          <w:rFonts w:hint="eastAsia" w:ascii="仿宋_GB2312" w:hAnsi="ˎ̥" w:eastAsia="仿宋_GB2312"/>
          <w:color w:val="auto"/>
          <w:sz w:val="32"/>
          <w:szCs w:val="32"/>
        </w:rPr>
        <w:t>。</w:t>
      </w:r>
    </w:p>
    <w:p w14:paraId="02336A85">
      <w:pPr>
        <w:numPr>
          <w:ilvl w:val="0"/>
          <w:numId w:val="0"/>
        </w:numPr>
        <w:tabs>
          <w:tab w:val="left" w:pos="312"/>
        </w:tabs>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3.</w:t>
      </w:r>
      <w:r>
        <w:rPr>
          <w:rFonts w:hint="eastAsia" w:ascii="仿宋_GB2312" w:hAnsi="ˎ̥" w:eastAsia="仿宋_GB2312"/>
          <w:b/>
          <w:color w:val="auto"/>
          <w:sz w:val="32"/>
          <w:szCs w:val="32"/>
        </w:rPr>
        <w:t>社会保障和就业支出（类）行政事业单位养老支出（款）机关事业单位基本养老保险缴费支出（项）</w:t>
      </w:r>
    </w:p>
    <w:p w14:paraId="06E00671">
      <w:pPr>
        <w:ind w:firstLine="640" w:firstLineChars="200"/>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129.73</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128.95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99.4</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，决算数小于预算数的主要原因是根据当年度实际情况支出。</w:t>
      </w:r>
    </w:p>
    <w:p w14:paraId="5ACE2C89">
      <w:pPr>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b/>
          <w:color w:val="auto"/>
          <w:sz w:val="32"/>
          <w:szCs w:val="32"/>
        </w:rPr>
        <w:t>社会保障和就业支出（类）行政事业单位养老支出（款）机关事业单位职业年金缴费支出（项）。</w:t>
      </w:r>
    </w:p>
    <w:p w14:paraId="78904DC1">
      <w:pPr>
        <w:ind w:firstLine="640" w:firstLineChars="200"/>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 xml:space="preserve"> </w:t>
      </w: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188.83</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181.48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96.12</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，决算数小于预算数的主要原因是当年度实际情况支出。</w:t>
      </w:r>
    </w:p>
    <w:p w14:paraId="317E8416">
      <w:pPr>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5.</w:t>
      </w:r>
      <w:r>
        <w:rPr>
          <w:rFonts w:hint="eastAsia" w:ascii="仿宋_GB2312" w:hAnsi="ˎ̥" w:eastAsia="仿宋_GB2312"/>
          <w:b/>
          <w:color w:val="auto"/>
          <w:sz w:val="32"/>
          <w:szCs w:val="32"/>
        </w:rPr>
        <w:t>社会保障和就业支出（类）抚恤（款）其他优抚支出（项）。</w:t>
      </w:r>
    </w:p>
    <w:p w14:paraId="3B525008">
      <w:pPr>
        <w:ind w:firstLine="640" w:firstLineChars="200"/>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 xml:space="preserve"> </w:t>
      </w: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1.66</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1.91</w:t>
      </w:r>
      <w:r>
        <w:rPr>
          <w:rFonts w:hint="eastAsia" w:ascii="仿宋_GB2312" w:hAnsi="ˎ̥" w:eastAsia="仿宋_GB2312"/>
          <w:color w:val="auto"/>
          <w:sz w:val="32"/>
          <w:szCs w:val="32"/>
        </w:rPr>
        <w:t>万元，完成年初预算的</w:t>
      </w:r>
      <w:r>
        <w:rPr>
          <w:rFonts w:ascii="仿宋_GB2312" w:hAnsi="ˎ̥" w:eastAsia="仿宋_GB2312"/>
          <w:color w:val="auto"/>
          <w:sz w:val="32"/>
          <w:szCs w:val="32"/>
        </w:rPr>
        <w:t>1</w:t>
      </w:r>
      <w:r>
        <w:rPr>
          <w:rFonts w:hint="eastAsia" w:ascii="仿宋_GB2312" w:hAnsi="ˎ̥" w:eastAsia="仿宋_GB2312"/>
          <w:color w:val="auto"/>
          <w:sz w:val="32"/>
          <w:szCs w:val="32"/>
          <w:lang w:val="en-US" w:eastAsia="zh-CN"/>
        </w:rPr>
        <w:t>15.06</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，决算数大于预算数的主要原因是当年度实际情况支出。</w:t>
      </w:r>
    </w:p>
    <w:p w14:paraId="1F22FDAE">
      <w:pPr>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6.</w:t>
      </w:r>
      <w:r>
        <w:rPr>
          <w:rFonts w:hint="eastAsia" w:ascii="仿宋_GB2312" w:hAnsi="ˎ̥" w:eastAsia="仿宋_GB2312"/>
          <w:b/>
          <w:color w:val="auto"/>
          <w:sz w:val="32"/>
          <w:szCs w:val="32"/>
        </w:rPr>
        <w:t>卫生健康支出（类）行政事业单位医疗（款）事业单位医疗（项）。</w:t>
      </w:r>
    </w:p>
    <w:p w14:paraId="53DCF278">
      <w:pPr>
        <w:ind w:firstLine="640"/>
        <w:rPr>
          <w:rFonts w:hint="eastAsia" w:ascii="仿宋_GB2312" w:hAnsi="ˎ̥" w:eastAsia="仿宋_GB2312"/>
          <w:color w:val="auto"/>
          <w:sz w:val="32"/>
          <w:szCs w:val="32"/>
          <w:lang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55.75</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50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89.69</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，决算数小于预算数的主要原因是当年度实际情况支出。</w:t>
      </w:r>
    </w:p>
    <w:p w14:paraId="4DC449C3">
      <w:pPr>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7.</w:t>
      </w:r>
      <w:r>
        <w:rPr>
          <w:rFonts w:hint="eastAsia" w:ascii="仿宋_GB2312" w:hAnsi="ˎ̥" w:eastAsia="仿宋_GB2312"/>
          <w:b/>
          <w:color w:val="auto"/>
          <w:sz w:val="32"/>
          <w:szCs w:val="32"/>
        </w:rPr>
        <w:t>住房保障支出（类）住房改革支出（款）住房公积金（项）。</w:t>
      </w:r>
    </w:p>
    <w:p w14:paraId="579AC64D">
      <w:pPr>
        <w:ind w:firstLine="640" w:firstLineChars="200"/>
        <w:rPr>
          <w:rFonts w:hint="eastAsia" w:ascii="仿宋_GB2312" w:hAnsi="ˎ̥" w:eastAsia="仿宋_GB2312"/>
          <w:color w:val="auto"/>
          <w:sz w:val="32"/>
          <w:szCs w:val="32"/>
          <w:lang w:val="en-US" w:eastAsia="zh-CN"/>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111.84</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109.98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98.34</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，决算数小于预算数的主要原因是当年度实际情况支出。</w:t>
      </w:r>
    </w:p>
    <w:p w14:paraId="4D36A90B">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14:paraId="191C073F">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7,773.45</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1,434.13</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6,339.32</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资本性支出中的办公设备购置、无形资产购置、其他资本性支出等。</w:t>
      </w:r>
    </w:p>
    <w:p w14:paraId="6D3DC636">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14:paraId="68323D1D">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14:paraId="28EDFEF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14:paraId="42BEAC4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14:paraId="4BAA25E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p>
    <w:p w14:paraId="3BB8E4E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14:paraId="3BBF1B17">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074F106D">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14:paraId="10EC2A1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14:paraId="7BD8829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321D8DC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14:paraId="06BF105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14:paraId="1FB0789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14:paraId="35AFE54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764A6695">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14:paraId="2EF8178C">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14:paraId="5243B65A">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13.77</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4.82</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35</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13.95</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eastAsia="zh-CN"/>
        </w:rPr>
        <w:t>根据当年公务用车使用运行情况支出</w:t>
      </w:r>
      <w:r>
        <w:rPr>
          <w:rFonts w:hint="eastAsia" w:ascii="仿宋_GB2312" w:hAnsi="ˎ̥" w:eastAsia="仿宋_GB2312"/>
          <w:color w:val="auto"/>
          <w:sz w:val="32"/>
          <w:szCs w:val="32"/>
        </w:rPr>
        <w:t>。。</w:t>
      </w:r>
    </w:p>
    <w:p w14:paraId="0B95F773">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14:paraId="502624C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4.82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14:paraId="1DC99BBA">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14:paraId="65F9116D">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4.82</w:t>
      </w:r>
      <w:r>
        <w:rPr>
          <w:rFonts w:hint="eastAsia" w:ascii="仿宋_GB2312" w:hAnsi="ˎ̥" w:eastAsia="仿宋_GB2312"/>
          <w:color w:val="auto"/>
          <w:sz w:val="32"/>
          <w:szCs w:val="32"/>
        </w:rPr>
        <w:t>万元。其中：</w:t>
      </w:r>
    </w:p>
    <w:p w14:paraId="152618C6">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辆，年末公务用车保有量</w:t>
      </w: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辆。</w:t>
      </w:r>
    </w:p>
    <w:p w14:paraId="4FCFA8C2">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4.82</w:t>
      </w:r>
      <w:r>
        <w:rPr>
          <w:rFonts w:hint="eastAsia" w:ascii="仿宋_GB2312" w:hAnsi="ˎ̥" w:eastAsia="仿宋_GB2312"/>
          <w:color w:val="auto"/>
          <w:sz w:val="32"/>
          <w:szCs w:val="32"/>
        </w:rPr>
        <w:t>万元，</w:t>
      </w:r>
      <w:r>
        <w:rPr>
          <w:rFonts w:hint="eastAsia" w:ascii="仿宋_GB2312" w:hAnsi="ˎ̥" w:eastAsia="仿宋_GB2312"/>
          <w:color w:val="auto"/>
          <w:sz w:val="32"/>
          <w:szCs w:val="32"/>
          <w:highlight w:val="none"/>
        </w:rPr>
        <w:t>主要用于</w:t>
      </w:r>
      <w:r>
        <w:rPr>
          <w:rFonts w:hint="eastAsia" w:ascii="仿宋_GB2312" w:hAnsi="ˎ̥" w:eastAsia="仿宋_GB2312"/>
          <w:color w:val="auto"/>
          <w:sz w:val="32"/>
          <w:szCs w:val="32"/>
        </w:rPr>
        <w:t>公务用车</w:t>
      </w:r>
      <w:r>
        <w:rPr>
          <w:rFonts w:hint="eastAsia" w:ascii="仿宋_GB2312" w:hAnsi="ˎ̥" w:eastAsia="仿宋_GB2312"/>
          <w:color w:val="auto"/>
          <w:sz w:val="32"/>
          <w:szCs w:val="32"/>
          <w:lang w:eastAsia="zh-CN"/>
        </w:rPr>
        <w:t>日常</w:t>
      </w:r>
      <w:r>
        <w:rPr>
          <w:rFonts w:hint="eastAsia" w:ascii="仿宋_GB2312" w:hAnsi="ˎ̥" w:eastAsia="仿宋_GB2312"/>
          <w:color w:val="auto"/>
          <w:sz w:val="32"/>
          <w:szCs w:val="32"/>
        </w:rPr>
        <w:t>维修</w:t>
      </w:r>
      <w:r>
        <w:rPr>
          <w:rFonts w:hint="eastAsia" w:ascii="仿宋_GB2312" w:hAnsi="ˎ̥" w:eastAsia="仿宋_GB2312"/>
          <w:color w:val="auto"/>
          <w:sz w:val="32"/>
          <w:szCs w:val="32"/>
          <w:lang w:eastAsia="zh-CN"/>
        </w:rPr>
        <w:t>保养和购买车辆保险</w:t>
      </w:r>
      <w:r>
        <w:rPr>
          <w:rFonts w:hint="eastAsia" w:ascii="仿宋_GB2312" w:hAnsi="ˎ̥" w:eastAsia="仿宋_GB2312"/>
          <w:color w:val="auto"/>
          <w:sz w:val="32"/>
          <w:szCs w:val="32"/>
        </w:rPr>
        <w:t>费用。</w:t>
      </w:r>
    </w:p>
    <w:p w14:paraId="30118357">
      <w:pPr>
        <w:spacing w:line="578" w:lineRule="exact"/>
        <w:ind w:firstLine="640" w:firstLineChars="200"/>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比预算数减少</w:t>
      </w:r>
      <w:r>
        <w:rPr>
          <w:rFonts w:hint="eastAsia" w:ascii="仿宋_GB2312" w:hAnsi="ˎ̥" w:eastAsia="仿宋_GB2312"/>
          <w:color w:val="auto"/>
          <w:sz w:val="32"/>
          <w:szCs w:val="32"/>
          <w:lang w:val="en-US" w:eastAsia="zh-CN"/>
        </w:rPr>
        <w:t>8.95</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完成预算的35</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lang w:val="en-US" w:eastAsia="zh-CN"/>
        </w:rPr>
        <w:t>13.95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根据当年公务用车使用运行情况支出</w:t>
      </w:r>
      <w:r>
        <w:rPr>
          <w:rFonts w:hint="eastAsia" w:ascii="仿宋_GB2312" w:hAnsi="ˎ̥" w:eastAsia="仿宋_GB2312"/>
          <w:color w:val="auto"/>
          <w:sz w:val="32"/>
          <w:szCs w:val="32"/>
        </w:rPr>
        <w:t>。</w:t>
      </w:r>
    </w:p>
    <w:p w14:paraId="6C3ECF35">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14:paraId="4EC15CFF">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14:paraId="1564E068">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w:t>
      </w:r>
    </w:p>
    <w:p w14:paraId="62AE1A4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14:paraId="0A6F8AA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14:paraId="279C303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14:paraId="159ECD2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根据财政预算绩效管理要求，我单位组织对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共涉及资金3528.23万元，占一般公共预算项目支出总额的100%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14:paraId="48229BE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后勤保障</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个项目开展了部门评价，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3528.23</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从评价情况来看，</w:t>
      </w:r>
      <w:r>
        <w:rPr>
          <w:rFonts w:hint="eastAsia" w:ascii="仿宋" w:hAnsi="仿宋" w:eastAsia="仿宋" w:cs="仿宋"/>
          <w:b w:val="0"/>
          <w:bCs/>
          <w:color w:val="auto"/>
          <w:kern w:val="0"/>
          <w:sz w:val="32"/>
          <w:szCs w:val="32"/>
        </w:rPr>
        <w:t>满足机关办公正常</w:t>
      </w:r>
      <w:r>
        <w:rPr>
          <w:rFonts w:hint="eastAsia" w:ascii="仿宋" w:hAnsi="仿宋" w:eastAsia="仿宋" w:cs="仿宋"/>
          <w:b w:val="0"/>
          <w:bCs/>
          <w:color w:val="auto"/>
          <w:kern w:val="0"/>
          <w:sz w:val="32"/>
          <w:szCs w:val="32"/>
          <w:lang w:eastAsia="zh-CN"/>
        </w:rPr>
        <w:t>运转</w:t>
      </w:r>
      <w:r>
        <w:rPr>
          <w:rFonts w:hint="eastAsia" w:ascii="仿宋" w:hAnsi="仿宋" w:eastAsia="仿宋" w:cs="仿宋"/>
          <w:b w:val="0"/>
          <w:bCs/>
          <w:color w:val="auto"/>
          <w:kern w:val="0"/>
          <w:sz w:val="32"/>
          <w:szCs w:val="32"/>
        </w:rPr>
        <w:t>要求</w:t>
      </w:r>
      <w:r>
        <w:rPr>
          <w:rFonts w:hint="eastAsia" w:ascii="仿宋" w:hAnsi="仿宋" w:eastAsia="仿宋" w:cs="仿宋"/>
          <w:b w:val="0"/>
          <w:bCs/>
          <w:color w:val="auto"/>
          <w:kern w:val="0"/>
          <w:sz w:val="32"/>
          <w:szCs w:val="32"/>
          <w:lang w:eastAsia="zh-CN"/>
        </w:rPr>
        <w:t>，</w:t>
      </w:r>
      <w:r>
        <w:rPr>
          <w:rFonts w:hint="eastAsia" w:ascii="仿宋" w:hAnsi="仿宋" w:eastAsia="仿宋" w:cs="仿宋"/>
          <w:b w:val="0"/>
          <w:bCs/>
          <w:color w:val="auto"/>
          <w:kern w:val="0"/>
          <w:sz w:val="32"/>
          <w:szCs w:val="32"/>
        </w:rPr>
        <w:t>物业管理项目正常按计划完成，确保机关办公环境的维护，促使办公秩序正常，从根本上维护办公区和谐稳定</w:t>
      </w:r>
      <w:r>
        <w:rPr>
          <w:rFonts w:hint="eastAsia" w:ascii="仿宋" w:hAnsi="仿宋" w:eastAsia="仿宋" w:cs="仿宋"/>
          <w:b w:val="0"/>
          <w:bCs/>
          <w:color w:val="auto"/>
          <w:kern w:val="0"/>
          <w:sz w:val="32"/>
          <w:szCs w:val="32"/>
          <w:lang w:eastAsia="zh-CN"/>
        </w:rPr>
        <w:t>，</w:t>
      </w:r>
      <w:r>
        <w:rPr>
          <w:rFonts w:hint="eastAsia" w:ascii="仿宋" w:hAnsi="仿宋" w:eastAsia="仿宋" w:cs="仿宋"/>
          <w:b w:val="0"/>
          <w:bCs/>
          <w:color w:val="auto"/>
          <w:kern w:val="0"/>
          <w:sz w:val="32"/>
          <w:szCs w:val="32"/>
        </w:rPr>
        <w:t>物业管理项目正常按年初目标完成</w:t>
      </w:r>
      <w:r>
        <w:rPr>
          <w:rFonts w:hint="eastAsia" w:ascii="仿宋_GB2312" w:eastAsia="仿宋_GB2312"/>
          <w:color w:val="auto"/>
          <w:sz w:val="32"/>
          <w:szCs w:val="32"/>
        </w:rPr>
        <w:t>。</w:t>
      </w:r>
    </w:p>
    <w:p w14:paraId="7565CA3C">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w:t>
      </w:r>
    </w:p>
    <w:p w14:paraId="0C7C317F">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我单位在部门决算中反映</w:t>
      </w:r>
      <w:r>
        <w:rPr>
          <w:rFonts w:hint="eastAsia" w:ascii="仿宋_GB2312" w:eastAsia="仿宋_GB2312"/>
          <w:color w:val="auto"/>
          <w:sz w:val="32"/>
          <w:szCs w:val="32"/>
          <w:lang w:val="en-US" w:eastAsia="zh-CN"/>
        </w:rPr>
        <w:t>后勤保障</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个项目绩效自评结果。</w:t>
      </w:r>
    </w:p>
    <w:p w14:paraId="398D225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eastAsia="zh-CN"/>
        </w:rPr>
      </w:pPr>
      <w:r>
        <w:rPr>
          <w:rFonts w:hint="eastAsia" w:ascii="仿宋_GB2312" w:eastAsia="仿宋_GB2312"/>
          <w:color w:val="auto"/>
          <w:sz w:val="32"/>
          <w:szCs w:val="32"/>
          <w:lang w:val="en-US" w:eastAsia="zh-CN"/>
        </w:rPr>
        <w:t>后勤保障</w:t>
      </w:r>
      <w:r>
        <w:rPr>
          <w:rFonts w:hint="eastAsia" w:ascii="仿宋_GB2312" w:eastAsia="仿宋_GB2312"/>
          <w:color w:val="auto"/>
          <w:sz w:val="32"/>
          <w:szCs w:val="32"/>
        </w:rPr>
        <w:t>项目绩效自评表：</w:t>
      </w:r>
      <w:r>
        <w:rPr>
          <w:rFonts w:hint="eastAsia" w:ascii="仿宋_GB2312" w:eastAsia="仿宋_GB2312"/>
          <w:color w:val="auto"/>
          <w:sz w:val="32"/>
          <w:szCs w:val="32"/>
          <w:lang w:eastAsia="zh-CN"/>
        </w:rPr>
        <w:t>详见附件</w:t>
      </w:r>
    </w:p>
    <w:p w14:paraId="20F54A28">
      <w:pPr>
        <w:numPr>
          <w:ilvl w:val="0"/>
          <w:numId w:val="0"/>
        </w:numPr>
        <w:spacing w:line="578" w:lineRule="exact"/>
        <w:rPr>
          <w:rFonts w:hint="eastAsia" w:ascii="仿宋_GB2312" w:eastAsia="仿宋_GB2312"/>
          <w:color w:val="auto"/>
          <w:sz w:val="32"/>
          <w:szCs w:val="32"/>
        </w:rPr>
      </w:pPr>
      <w:r>
        <w:rPr>
          <w:rFonts w:hint="eastAsia" w:ascii="仿宋_GB2312" w:eastAsia="仿宋_GB2312"/>
          <w:color w:val="auto"/>
          <w:sz w:val="32"/>
          <w:szCs w:val="32"/>
          <w:lang w:eastAsia="zh-CN"/>
        </w:rPr>
        <w:t>后勤保障</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99.97</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1584.94</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1579.82</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99.68</w:t>
      </w:r>
      <w:r>
        <w:rPr>
          <w:rFonts w:hint="eastAsia" w:ascii="仿宋_GB2312" w:eastAsia="仿宋_GB2312"/>
          <w:color w:val="auto"/>
          <w:sz w:val="32"/>
          <w:szCs w:val="32"/>
        </w:rPr>
        <w:t>%。项目绩效目标完成情况：一是</w:t>
      </w:r>
      <w:r>
        <w:rPr>
          <w:rFonts w:hint="eastAsia" w:eastAsia="仿宋_GB2312"/>
          <w:color w:val="auto"/>
          <w:sz w:val="32"/>
          <w:szCs w:val="32"/>
        </w:rPr>
        <w:t>机关干部职工</w:t>
      </w:r>
      <w:r>
        <w:rPr>
          <w:rFonts w:eastAsia="仿宋_GB2312"/>
          <w:color w:val="auto"/>
          <w:sz w:val="32"/>
          <w:szCs w:val="32"/>
        </w:rPr>
        <w:t>对物业服务的满意度有所提高</w:t>
      </w:r>
      <w:r>
        <w:rPr>
          <w:rFonts w:hint="eastAsia" w:ascii="仿宋_GB2312" w:eastAsia="仿宋_GB2312"/>
          <w:color w:val="auto"/>
          <w:sz w:val="32"/>
          <w:szCs w:val="32"/>
        </w:rPr>
        <w:t>；二是</w:t>
      </w:r>
      <w:r>
        <w:rPr>
          <w:rFonts w:eastAsia="仿宋_GB2312"/>
          <w:color w:val="auto"/>
          <w:sz w:val="32"/>
          <w:szCs w:val="32"/>
        </w:rPr>
        <w:t>物业服务水平不断改善，</w:t>
      </w:r>
      <w:r>
        <w:rPr>
          <w:rFonts w:hint="eastAsia" w:eastAsia="仿宋_GB2312"/>
          <w:color w:val="auto"/>
          <w:sz w:val="32"/>
          <w:szCs w:val="32"/>
        </w:rPr>
        <w:t>办公区</w:t>
      </w:r>
      <w:r>
        <w:rPr>
          <w:rFonts w:eastAsia="仿宋_GB2312"/>
          <w:color w:val="auto"/>
          <w:sz w:val="32"/>
          <w:szCs w:val="32"/>
        </w:rPr>
        <w:t>物业达标率有明显提高，物业服务的信访投诉逐步下降</w:t>
      </w:r>
      <w:r>
        <w:rPr>
          <w:rFonts w:hint="eastAsia" w:ascii="仿宋_GB2312" w:eastAsia="仿宋_GB2312"/>
          <w:color w:val="auto"/>
          <w:sz w:val="32"/>
          <w:szCs w:val="32"/>
        </w:rPr>
        <w:t>。发现的主要问题及原因：一是干部职工对物业服务满意度达不到百分之百；二是物业服务水平还有提高余地。下一步改进措施：一是</w:t>
      </w:r>
      <w:r>
        <w:rPr>
          <w:rFonts w:eastAsia="仿宋_GB2312"/>
          <w:color w:val="auto"/>
          <w:sz w:val="32"/>
          <w:szCs w:val="32"/>
        </w:rPr>
        <w:t>充分调动积极性，</w:t>
      </w:r>
      <w:r>
        <w:rPr>
          <w:rFonts w:hint="eastAsia" w:eastAsia="仿宋_GB2312"/>
          <w:color w:val="auto"/>
          <w:sz w:val="32"/>
          <w:szCs w:val="32"/>
        </w:rPr>
        <w:t>提高</w:t>
      </w:r>
      <w:r>
        <w:rPr>
          <w:rFonts w:eastAsia="仿宋_GB2312"/>
          <w:color w:val="auto"/>
          <w:sz w:val="32"/>
          <w:szCs w:val="32"/>
        </w:rPr>
        <w:t>服务质量，改善办公及生活环境</w:t>
      </w:r>
      <w:r>
        <w:rPr>
          <w:rFonts w:hint="eastAsia" w:ascii="仿宋_GB2312" w:eastAsia="仿宋_GB2312"/>
          <w:color w:val="auto"/>
          <w:sz w:val="32"/>
          <w:szCs w:val="32"/>
        </w:rPr>
        <w:t>；二是</w:t>
      </w:r>
      <w:r>
        <w:rPr>
          <w:rFonts w:eastAsia="仿宋_GB2312"/>
          <w:color w:val="auto"/>
          <w:sz w:val="32"/>
          <w:szCs w:val="32"/>
        </w:rPr>
        <w:t>主动改进</w:t>
      </w:r>
      <w:r>
        <w:rPr>
          <w:rFonts w:hint="eastAsia" w:eastAsia="仿宋_GB2312"/>
          <w:color w:val="auto"/>
          <w:sz w:val="32"/>
          <w:szCs w:val="32"/>
          <w:lang w:eastAsia="zh-CN"/>
        </w:rPr>
        <w:t>服务，优化相关设施</w:t>
      </w:r>
      <w:r>
        <w:rPr>
          <w:rFonts w:hint="eastAsia" w:eastAsia="仿宋_GB2312"/>
          <w:color w:val="auto"/>
          <w:sz w:val="32"/>
          <w:szCs w:val="32"/>
        </w:rPr>
        <w:t>。</w:t>
      </w:r>
    </w:p>
    <w:p w14:paraId="66C468B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w:t>
      </w:r>
    </w:p>
    <w:p w14:paraId="2EF68EA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无此项内容。</w:t>
      </w:r>
    </w:p>
    <w:p w14:paraId="684E2C89">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14:paraId="60133D8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7" w:name="_Toc23598_WPSOffice_Level2"/>
      <w:bookmarkStart w:id="98" w:name="_Toc15565_WPSOffice_Level2"/>
      <w:bookmarkStart w:id="99" w:name="_Toc15262_WPSOffice_Level2"/>
      <w:bookmarkStart w:id="100" w:name="_Toc32639_WPSOffice_Level2"/>
      <w:bookmarkStart w:id="101" w:name="_Toc5978_WPSOffice_Level2"/>
      <w:bookmarkStart w:id="102" w:name="_Toc18325_WPSOffice_Level2"/>
      <w:r>
        <w:rPr>
          <w:rFonts w:hint="eastAsia" w:ascii="楷体" w:hAnsi="楷体" w:eastAsia="楷体" w:cs="楷体"/>
          <w:bCs/>
          <w:color w:val="auto"/>
          <w:sz w:val="32"/>
          <w:szCs w:val="32"/>
        </w:rPr>
        <w:t>（一）机关运行经费支出情况</w:t>
      </w:r>
      <w:bookmarkEnd w:id="97"/>
      <w:bookmarkEnd w:id="98"/>
      <w:bookmarkEnd w:id="99"/>
      <w:bookmarkEnd w:id="100"/>
      <w:bookmarkEnd w:id="101"/>
      <w:bookmarkEnd w:id="102"/>
    </w:p>
    <w:p w14:paraId="3D600E1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海南省直属机关服务中心</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6339.32</w:t>
      </w:r>
      <w:r>
        <w:rPr>
          <w:rFonts w:hint="eastAsia" w:ascii="仿宋_GB2312" w:hAnsi="ˎ̥" w:eastAsia="仿宋_GB2312"/>
          <w:color w:val="auto"/>
          <w:sz w:val="32"/>
          <w:szCs w:val="32"/>
        </w:rPr>
        <w:t>万元，比年初预算减少</w:t>
      </w:r>
      <w:r>
        <w:rPr>
          <w:rFonts w:hint="eastAsia" w:ascii="仿宋_GB2312" w:hAnsi="ˎ̥" w:eastAsia="仿宋_GB2312"/>
          <w:color w:val="auto"/>
          <w:sz w:val="32"/>
          <w:szCs w:val="32"/>
          <w:lang w:val="en-US" w:eastAsia="zh-CN"/>
        </w:rPr>
        <w:t>17.65</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完成预算的99.72</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w:t>
      </w:r>
      <w:r>
        <w:rPr>
          <w:rFonts w:hint="eastAsia" w:ascii="仿宋_GB2312" w:hAnsi="ˎ̥" w:eastAsia="仿宋_GB2312"/>
          <w:color w:val="auto"/>
          <w:sz w:val="32"/>
          <w:szCs w:val="32"/>
          <w:lang w:val="en-US" w:eastAsia="zh-CN"/>
        </w:rPr>
        <w:t>1021.94</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增长19.22%。</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2024年</w:t>
      </w:r>
      <w:r>
        <w:rPr>
          <w:rFonts w:hint="eastAsia" w:ascii="仿宋_GB2312" w:hAnsi="ˎ̥" w:eastAsia="仿宋_GB2312"/>
          <w:color w:val="auto"/>
          <w:sz w:val="32"/>
          <w:szCs w:val="32"/>
          <w:lang w:eastAsia="zh-CN"/>
        </w:rPr>
        <w:t>增加海府新村、八角楼、会展楼南面广场地下停车场、新建政务二期办公楼等办公区域面积，相应增加水电费、物业管理费</w:t>
      </w:r>
      <w:r>
        <w:rPr>
          <w:rFonts w:hint="eastAsia" w:ascii="仿宋_GB2312" w:hAnsi="ˎ̥" w:eastAsia="仿宋_GB2312"/>
          <w:color w:val="auto"/>
          <w:sz w:val="32"/>
          <w:szCs w:val="32"/>
        </w:rPr>
        <w:t>。</w:t>
      </w:r>
    </w:p>
    <w:p w14:paraId="430E6FD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3" w:name="_Toc3131_WPSOffice_Level2"/>
      <w:bookmarkStart w:id="104" w:name="_Toc25333_WPSOffice_Level2"/>
      <w:bookmarkStart w:id="105" w:name="_Toc13084_WPSOffice_Level2"/>
      <w:bookmarkStart w:id="106" w:name="_Toc30383_WPSOffice_Level2"/>
      <w:bookmarkStart w:id="107" w:name="_Toc23966_WPSOffice_Level2"/>
      <w:bookmarkStart w:id="108" w:name="_Toc32689_WPSOffice_Level2"/>
      <w:r>
        <w:rPr>
          <w:rFonts w:hint="eastAsia" w:ascii="楷体" w:hAnsi="楷体" w:eastAsia="楷体" w:cs="楷体"/>
          <w:bCs/>
          <w:color w:val="auto"/>
          <w:sz w:val="32"/>
          <w:szCs w:val="32"/>
        </w:rPr>
        <w:t>（二）政府采购支出情况</w:t>
      </w:r>
      <w:bookmarkEnd w:id="103"/>
      <w:bookmarkEnd w:id="104"/>
      <w:bookmarkEnd w:id="105"/>
      <w:bookmarkEnd w:id="106"/>
      <w:bookmarkEnd w:id="107"/>
      <w:bookmarkEnd w:id="108"/>
    </w:p>
    <w:p w14:paraId="3CC0EA33">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海南省直属机关服务中心</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2223.24</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2223.24</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 xml:space="preserve"> </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14:paraId="3780CDD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9" w:name="_Toc15129_WPSOffice_Level2"/>
      <w:bookmarkStart w:id="110" w:name="_Toc6016_WPSOffice_Level2"/>
      <w:bookmarkStart w:id="111" w:name="_Toc10902_WPSOffice_Level2"/>
      <w:bookmarkStart w:id="112" w:name="_Toc29584_WPSOffice_Level2"/>
      <w:bookmarkStart w:id="113" w:name="_Toc19989_WPSOffice_Level2"/>
      <w:bookmarkStart w:id="114" w:name="_Toc527_WPSOffice_Level2"/>
      <w:r>
        <w:rPr>
          <w:rFonts w:hint="eastAsia" w:ascii="楷体" w:hAnsi="楷体" w:eastAsia="楷体" w:cs="楷体"/>
          <w:bCs/>
          <w:color w:val="auto"/>
          <w:sz w:val="32"/>
          <w:szCs w:val="32"/>
        </w:rPr>
        <w:t>（三）国有资产占用情况</w:t>
      </w:r>
      <w:bookmarkEnd w:id="109"/>
      <w:bookmarkEnd w:id="110"/>
      <w:bookmarkEnd w:id="111"/>
      <w:bookmarkEnd w:id="112"/>
      <w:bookmarkEnd w:id="113"/>
      <w:bookmarkEnd w:id="114"/>
    </w:p>
    <w:p w14:paraId="35D4E43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14:paraId="689A5C8A">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14:paraId="279A4B0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14:paraId="42C9FA7C">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4398_WPSOffice_Level1"/>
      <w:bookmarkStart w:id="116" w:name="_Toc17580_WPSOffice_Level1"/>
      <w:bookmarkStart w:id="117" w:name="_Toc8874_WPSOffice_Level1"/>
      <w:bookmarkStart w:id="118" w:name="_Toc15425_WPSOffice_Level1"/>
      <w:bookmarkStart w:id="119" w:name="_Toc8808_WPSOffice_Level1"/>
      <w:bookmarkStart w:id="120" w:name="_Toc11039_WPSOffice_Level1"/>
    </w:p>
    <w:p w14:paraId="3DA60B18">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14:paraId="01485184">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14:paraId="78820BEA">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14:paraId="52291FF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14:paraId="303B79B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14:paraId="57C837E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14:paraId="7622630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14:paraId="5850DDF4">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14:paraId="527C6FD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14:paraId="26580EB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14:paraId="528F885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14:paraId="5B232DF2">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14:paraId="117DC428">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14:paraId="0972FD31">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14:paraId="75B4A91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14:paraId="3B07875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14:paraId="2E478EAF">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14:paraId="7FCF1834">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14:paraId="162BD359">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lang w:eastAsia="zh-CN"/>
        </w:rPr>
      </w:pPr>
      <w:r>
        <w:rPr>
          <w:rFonts w:hint="eastAsia" w:ascii="仿宋_GB2312" w:hAnsi="ˎ̥" w:eastAsia="仿宋_GB2312"/>
          <w:sz w:val="32"/>
          <w:szCs w:val="32"/>
        </w:rPr>
        <w:t>1.一般公共服务（类）政府办公厅（室）及相关机构事务（款）</w:t>
      </w:r>
      <w:r>
        <w:rPr>
          <w:rFonts w:hint="eastAsia" w:ascii="仿宋_GB2312" w:hAnsi="ˎ̥" w:eastAsia="仿宋_GB2312"/>
          <w:sz w:val="32"/>
          <w:szCs w:val="32"/>
          <w:lang w:eastAsia="zh-CN"/>
        </w:rPr>
        <w:t>机关服务</w:t>
      </w:r>
      <w:r>
        <w:rPr>
          <w:rFonts w:hint="eastAsia" w:ascii="仿宋_GB2312" w:hAnsi="ˎ̥" w:eastAsia="仿宋_GB2312"/>
          <w:sz w:val="32"/>
          <w:szCs w:val="32"/>
        </w:rPr>
        <w:t>（项）</w:t>
      </w:r>
      <w:r>
        <w:rPr>
          <w:rFonts w:hint="eastAsia" w:ascii="仿宋_GB2312" w:hAnsi="ˎ̥" w:eastAsia="仿宋_GB2312"/>
          <w:sz w:val="32"/>
          <w:szCs w:val="32"/>
          <w:lang w:eastAsia="zh-CN"/>
        </w:rPr>
        <w:t>，反映行政单位（包括实行公务员管理的事业单位）提供后勤服务的各类后勤服务中心、医务室等附属事业单位的支出。</w:t>
      </w:r>
    </w:p>
    <w:p w14:paraId="03CDF1AC">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2.</w:t>
      </w:r>
      <w:r>
        <w:rPr>
          <w:rFonts w:hint="eastAsia" w:ascii="仿宋_GB2312" w:hAnsi="ˎ̥" w:eastAsia="仿宋_GB2312"/>
          <w:sz w:val="32"/>
          <w:szCs w:val="32"/>
        </w:rPr>
        <w:t>一般公共服务（类）党委办公厅（室）及相关机构事务（款）</w:t>
      </w:r>
      <w:r>
        <w:rPr>
          <w:rFonts w:hint="eastAsia" w:ascii="仿宋_GB2312" w:hAnsi="ˎ̥" w:eastAsia="仿宋_GB2312"/>
          <w:sz w:val="32"/>
          <w:szCs w:val="32"/>
          <w:lang w:eastAsia="zh-CN"/>
        </w:rPr>
        <w:t>机关服务</w:t>
      </w:r>
      <w:r>
        <w:rPr>
          <w:rFonts w:hint="eastAsia" w:ascii="仿宋_GB2312" w:hAnsi="ˎ̥" w:eastAsia="仿宋_GB2312"/>
          <w:sz w:val="32"/>
          <w:szCs w:val="32"/>
        </w:rPr>
        <w:t>（项）</w:t>
      </w:r>
      <w:r>
        <w:rPr>
          <w:rFonts w:hint="eastAsia" w:ascii="仿宋_GB2312" w:hAnsi="ˎ̥" w:eastAsia="仿宋_GB2312"/>
          <w:sz w:val="32"/>
          <w:szCs w:val="32"/>
          <w:lang w:eastAsia="zh-CN"/>
        </w:rPr>
        <w:t>，反映行政单位（包括实行公务员管理的事业单位）提供后勤服务的各类后勤服务中心、医务室等附属事业单位的支出。</w:t>
      </w:r>
    </w:p>
    <w:p w14:paraId="2123B76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3.</w:t>
      </w:r>
      <w:r>
        <w:rPr>
          <w:rFonts w:hint="eastAsia" w:ascii="仿宋_GB2312" w:hAnsi="ˎ̥" w:eastAsia="仿宋_GB2312"/>
          <w:sz w:val="32"/>
          <w:szCs w:val="32"/>
        </w:rPr>
        <w:t>社会保障和就业支出（类）行政事业单位养老支出（款）机关事业单位基本养老保险缴费支出（项）</w:t>
      </w:r>
      <w:r>
        <w:rPr>
          <w:rFonts w:hint="eastAsia" w:ascii="仿宋_GB2312" w:hAnsi="ˎ̥" w:eastAsia="仿宋_GB2312"/>
          <w:sz w:val="32"/>
          <w:szCs w:val="32"/>
          <w:lang w:eastAsia="zh-CN"/>
        </w:rPr>
        <w:t>，反映机关事业单位实施养老保险制度由单位缴纳的基本养老保险费支出。</w:t>
      </w:r>
    </w:p>
    <w:p w14:paraId="7DDF319C">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4.</w:t>
      </w:r>
      <w:r>
        <w:rPr>
          <w:rFonts w:hint="eastAsia" w:ascii="仿宋_GB2312" w:hAnsi="ˎ̥" w:eastAsia="仿宋_GB2312"/>
          <w:sz w:val="32"/>
          <w:szCs w:val="32"/>
        </w:rPr>
        <w:t>社会保障和就业支出（类）行政事业单位养老支出（款）机关事业单位职业年金缴费支出（项）</w:t>
      </w:r>
      <w:r>
        <w:rPr>
          <w:rFonts w:hint="eastAsia" w:ascii="仿宋_GB2312" w:hAnsi="ˎ̥" w:eastAsia="仿宋_GB2312"/>
          <w:sz w:val="32"/>
          <w:szCs w:val="32"/>
          <w:lang w:eastAsia="zh-CN"/>
        </w:rPr>
        <w:t>，反映机关事业单位实施养老保险制度由单位实际缴纳的职业年检支出（含职业年金补记支出）。</w:t>
      </w:r>
    </w:p>
    <w:p w14:paraId="67EAECCB">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lang w:eastAsia="zh-CN"/>
        </w:rPr>
      </w:pPr>
      <w:r>
        <w:rPr>
          <w:rFonts w:hint="eastAsia" w:ascii="仿宋_GB2312" w:hAnsi="ˎ̥" w:eastAsia="仿宋_GB2312"/>
          <w:sz w:val="32"/>
          <w:szCs w:val="32"/>
          <w:lang w:val="en-US" w:eastAsia="zh-CN"/>
        </w:rPr>
        <w:t>5.</w:t>
      </w:r>
      <w:r>
        <w:rPr>
          <w:rFonts w:hint="eastAsia" w:ascii="仿宋_GB2312" w:hAnsi="ˎ̥" w:eastAsia="仿宋_GB2312"/>
          <w:sz w:val="32"/>
          <w:szCs w:val="32"/>
        </w:rPr>
        <w:t>社会保障和就业支出（类）抚恤（款）其他优抚支出（项）</w:t>
      </w:r>
      <w:r>
        <w:rPr>
          <w:rFonts w:hint="eastAsia" w:ascii="仿宋_GB2312" w:hAnsi="ˎ̥" w:eastAsia="仿宋_GB2312"/>
          <w:sz w:val="32"/>
          <w:szCs w:val="32"/>
          <w:lang w:eastAsia="zh-CN"/>
        </w:rPr>
        <w:t>，反映其他用于优抚方面的支出，包括向优抚对象发放的价格临时补贴、老烈士子女、老党员定期生活补助等支出。</w:t>
      </w:r>
    </w:p>
    <w:p w14:paraId="2EE211A3">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6.</w:t>
      </w:r>
      <w:r>
        <w:rPr>
          <w:rFonts w:hint="eastAsia" w:ascii="仿宋_GB2312" w:hAnsi="ˎ̥" w:eastAsia="仿宋_GB2312"/>
          <w:sz w:val="32"/>
          <w:szCs w:val="32"/>
        </w:rPr>
        <w:t>卫生健康支出（类）行政事业单位医疗（款）事业单位医疗（项）</w:t>
      </w:r>
      <w:r>
        <w:rPr>
          <w:rFonts w:hint="eastAsia" w:ascii="仿宋_GB2312" w:hAnsi="ˎ̥" w:eastAsia="仿宋_GB2312"/>
          <w:sz w:val="32"/>
          <w:szCs w:val="32"/>
          <w:lang w:eastAsia="zh-CN"/>
        </w:rPr>
        <w:t>，反映财政部门安排的事业单位基本医疗保险缴费经费，未参加医疗保险的事业单位的公费医疗经费，按国家规定享受离休人员待遇的医疗经费</w:t>
      </w:r>
      <w:r>
        <w:rPr>
          <w:rFonts w:hint="eastAsia" w:ascii="仿宋_GB2312" w:hAnsi="ˎ̥" w:eastAsia="仿宋_GB2312"/>
          <w:sz w:val="32"/>
          <w:szCs w:val="32"/>
        </w:rPr>
        <w:t>。</w:t>
      </w:r>
    </w:p>
    <w:p w14:paraId="0D4AEDE4">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lang w:val="en-US" w:eastAsia="zh-CN"/>
        </w:rPr>
        <w:t>7.</w:t>
      </w:r>
      <w:r>
        <w:rPr>
          <w:rFonts w:hint="eastAsia" w:ascii="仿宋_GB2312" w:hAnsi="ˎ̥" w:eastAsia="仿宋_GB2312"/>
          <w:sz w:val="32"/>
          <w:szCs w:val="32"/>
        </w:rPr>
        <w:t>住房保障支出（类）住房改革支出（款）住房公积金（项）</w:t>
      </w:r>
      <w:r>
        <w:rPr>
          <w:rFonts w:hint="eastAsia" w:ascii="仿宋_GB2312" w:hAnsi="ˎ̥" w:eastAsia="仿宋_GB2312"/>
          <w:sz w:val="32"/>
          <w:szCs w:val="32"/>
          <w:lang w:eastAsia="zh-CN"/>
        </w:rPr>
        <w:t>，反映行政事业单位按人力资源和社会保障部、财政部规定的基本工资和津贴补贴以及规定比例为职工缴纳的住房公积金</w:t>
      </w:r>
      <w:r>
        <w:rPr>
          <w:rFonts w:hint="eastAsia" w:ascii="仿宋_GB2312" w:hAnsi="ˎ̥" w:eastAsia="仿宋_GB2312"/>
          <w:sz w:val="32"/>
          <w:szCs w:val="32"/>
        </w:rPr>
        <w:t>。</w:t>
      </w:r>
    </w:p>
    <w:p w14:paraId="03EABD34">
      <w:pPr>
        <w:keepNext w:val="0"/>
        <w:keepLines w:val="0"/>
        <w:pageBreakBefore w:val="0"/>
        <w:widowControl w:val="0"/>
        <w:kinsoku/>
        <w:wordWrap/>
        <w:overflowPunct/>
        <w:topLinePunct w:val="0"/>
        <w:autoSpaceDE/>
        <w:autoSpaceDN/>
        <w:bidi w:val="0"/>
        <w:adjustRightInd/>
        <w:snapToGrid/>
        <w:spacing w:line="578" w:lineRule="exact"/>
        <w:textAlignment w:val="auto"/>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5F4E0C">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14:paraId="08BD841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05715">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68EF1F7A">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0DAAF2"/>
    <w:multiLevelType w:val="singleLevel"/>
    <w:tmpl w:val="A40DAAF2"/>
    <w:lvl w:ilvl="0" w:tentative="0">
      <w:start w:val="1"/>
      <w:numFmt w:val="chineseCounting"/>
      <w:suff w:val="nothing"/>
      <w:lvlText w:val="%1、"/>
      <w:lvlJc w:val="left"/>
      <w:rPr>
        <w:rFonts w:hint="eastAsia"/>
      </w:rPr>
    </w:lvl>
  </w:abstractNum>
  <w:abstractNum w:abstractNumId="1">
    <w:nsid w:val="AFFC2DCC"/>
    <w:multiLevelType w:val="singleLevel"/>
    <w:tmpl w:val="AFFC2DCC"/>
    <w:lvl w:ilvl="0" w:tentative="0">
      <w:start w:val="1"/>
      <w:numFmt w:val="chineseCounting"/>
      <w:suff w:val="nothing"/>
      <w:lvlText w:val="%1、"/>
      <w:lvlJc w:val="left"/>
      <w:rPr>
        <w:rFonts w:hint="eastAsia"/>
      </w:rPr>
    </w:lvl>
  </w:abstractNum>
  <w:abstractNum w:abstractNumId="2">
    <w:nsid w:val="FA6B8D63"/>
    <w:multiLevelType w:val="singleLevel"/>
    <w:tmpl w:val="FA6B8D63"/>
    <w:lvl w:ilvl="0" w:tentative="0">
      <w:start w:val="2"/>
      <w:numFmt w:val="chineseCounting"/>
      <w:suff w:val="nothing"/>
      <w:lvlText w:val="（%1）"/>
      <w:lvlJc w:val="left"/>
      <w:rPr>
        <w:rFonts w:hint="eastAsia"/>
      </w:rPr>
    </w:lvl>
  </w:abstractNum>
  <w:abstractNum w:abstractNumId="3">
    <w:nsid w:val="72109F8D"/>
    <w:multiLevelType w:val="singleLevel"/>
    <w:tmpl w:val="72109F8D"/>
    <w:lvl w:ilvl="0" w:tentative="0">
      <w:start w:val="7"/>
      <w:numFmt w:val="chineseCounting"/>
      <w:suff w:val="nothing"/>
      <w:lvlText w:val="%1、"/>
      <w:lvlJc w:val="left"/>
      <w:rPr>
        <w:rFonts w:hint="eastAsia"/>
      </w:rPr>
    </w:lvl>
  </w:abstractNum>
  <w:abstractNum w:abstractNumId="4">
    <w:nsid w:val="7675E33C"/>
    <w:multiLevelType w:val="singleLevel"/>
    <w:tmpl w:val="7675E33C"/>
    <w:lvl w:ilvl="0" w:tentative="0">
      <w:start w:val="2"/>
      <w:numFmt w:val="decimal"/>
      <w:lvlText w:val="%1."/>
      <w:lvlJc w:val="left"/>
      <w:pPr>
        <w:tabs>
          <w:tab w:val="left" w:pos="312"/>
        </w:tabs>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C2973A6"/>
    <w:rsid w:val="0FC80124"/>
    <w:rsid w:val="136F98C7"/>
    <w:rsid w:val="159F4DD4"/>
    <w:rsid w:val="17427E68"/>
    <w:rsid w:val="1755065F"/>
    <w:rsid w:val="1AFC29C9"/>
    <w:rsid w:val="1B5448A4"/>
    <w:rsid w:val="1CA52F2E"/>
    <w:rsid w:val="1DFB69AC"/>
    <w:rsid w:val="1E3630B9"/>
    <w:rsid w:val="22137F3B"/>
    <w:rsid w:val="235E36DA"/>
    <w:rsid w:val="26EEC2B5"/>
    <w:rsid w:val="29472309"/>
    <w:rsid w:val="2B406E77"/>
    <w:rsid w:val="2C2A0C43"/>
    <w:rsid w:val="2D1E73A5"/>
    <w:rsid w:val="32717154"/>
    <w:rsid w:val="335F4293"/>
    <w:rsid w:val="34B63260"/>
    <w:rsid w:val="37FDA7E2"/>
    <w:rsid w:val="39C119DA"/>
    <w:rsid w:val="3A314D88"/>
    <w:rsid w:val="3A746883"/>
    <w:rsid w:val="3B731AAC"/>
    <w:rsid w:val="3CA15DE9"/>
    <w:rsid w:val="3F1971C7"/>
    <w:rsid w:val="3F9827E4"/>
    <w:rsid w:val="3FE61EE5"/>
    <w:rsid w:val="406508EE"/>
    <w:rsid w:val="408D6263"/>
    <w:rsid w:val="41B40CEE"/>
    <w:rsid w:val="48317291"/>
    <w:rsid w:val="485F7024"/>
    <w:rsid w:val="48E70666"/>
    <w:rsid w:val="4C6877E5"/>
    <w:rsid w:val="4D6A468D"/>
    <w:rsid w:val="4EA86137"/>
    <w:rsid w:val="56CA7FD0"/>
    <w:rsid w:val="57697462"/>
    <w:rsid w:val="57FA38D1"/>
    <w:rsid w:val="5B4A1C0C"/>
    <w:rsid w:val="5F7D3333"/>
    <w:rsid w:val="61385890"/>
    <w:rsid w:val="62731ECB"/>
    <w:rsid w:val="62F94173"/>
    <w:rsid w:val="66AB1EB4"/>
    <w:rsid w:val="687436E1"/>
    <w:rsid w:val="6C641A94"/>
    <w:rsid w:val="6DA45C50"/>
    <w:rsid w:val="6E9A7825"/>
    <w:rsid w:val="6F670F9B"/>
    <w:rsid w:val="737450E0"/>
    <w:rsid w:val="737804C0"/>
    <w:rsid w:val="74054476"/>
    <w:rsid w:val="742F38C4"/>
    <w:rsid w:val="74A944CB"/>
    <w:rsid w:val="74AB66DC"/>
    <w:rsid w:val="74C4154C"/>
    <w:rsid w:val="75956FFF"/>
    <w:rsid w:val="77AA2D01"/>
    <w:rsid w:val="782324A7"/>
    <w:rsid w:val="7A4F1857"/>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1307</Words>
  <Characters>1395</Characters>
  <Lines>67</Lines>
  <Paragraphs>18</Paragraphs>
  <TotalTime>16</TotalTime>
  <ScaleCrop>false</ScaleCrop>
  <LinksUpToDate>false</LinksUpToDate>
  <CharactersWithSpaces>1440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胖旬</cp:lastModifiedBy>
  <cp:lastPrinted>2025-09-05T00:22:19Z</cp:lastPrinted>
  <dcterms:modified xsi:type="dcterms:W3CDTF">2025-09-05T00:47:29Z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03AE7F14E2DC4BACB053764200FF950D_13</vt:lpwstr>
  </property>
  <property fmtid="{D5CDD505-2E9C-101B-9397-08002B2CF9AE}" pid="4" name="KSOTemplateDocerSaveRecord">
    <vt:lpwstr>eyJoZGlkIjoiZGRmYmI5OWQ5MTI5MjkzMWRlMTkzYWJhYWNlZDQ1NzciLCJ1c2VySWQiOiIyOTc4MTUxNzEifQ==</vt:lpwstr>
  </property>
</Properties>
</file>